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1E2C3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1E2C3B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1E2C3B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1E2C3B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6500A7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   </w:t>
            </w:r>
            <w:r w:rsidR="00CD37A6" w:rsidRPr="0068608D">
              <w:rPr>
                <w:rFonts w:asciiTheme="minorHAnsi" w:hAnsiTheme="minorHAnsi" w:cstheme="minorHAnsi"/>
              </w:rPr>
              <w:t>fornitura</w:t>
            </w:r>
            <w:r w:rsidR="00CD37A6">
              <w:rPr>
                <w:rFonts w:asciiTheme="minorHAnsi" w:hAnsiTheme="minorHAnsi" w:cstheme="minorHAnsi"/>
              </w:rPr>
              <w:t xml:space="preserve"> del principio attivo CETUXIMAB flaconi da 20 ml E.V. (5 mg/ml) quantità n. 3.000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1E2C3B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E2C3B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1E2C3B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1E2C3B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1E2C3B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1E2C3B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1E2C3B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1E2C3B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1E2C3B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1E2C3B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1E2C3B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1E2C3B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1E2C3B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1E2C3B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1E2C3B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E2C3B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1E2C3B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1E2C3B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1E2C3B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E2C3B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1E2C3B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1E2C3B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1E2C3B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1E2C3B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1E2C3B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E2C3B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C3B" w:rsidRDefault="001E2C3B">
      <w:r>
        <w:separator/>
      </w:r>
    </w:p>
  </w:endnote>
  <w:endnote w:type="continuationSeparator" w:id="0">
    <w:p w:rsidR="001E2C3B" w:rsidRDefault="001E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1E2C3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D37A6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1E2C3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1E2C3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D37A6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C3B" w:rsidRDefault="001E2C3B">
      <w:r>
        <w:separator/>
      </w:r>
    </w:p>
  </w:footnote>
  <w:footnote w:type="continuationSeparator" w:id="0">
    <w:p w:rsidR="001E2C3B" w:rsidRDefault="001E2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2C3B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CD37A6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6387</Words>
  <Characters>36411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59</cp:revision>
  <dcterms:created xsi:type="dcterms:W3CDTF">2023-07-27T09:06:00Z</dcterms:created>
  <dcterms:modified xsi:type="dcterms:W3CDTF">2026-01-14T09:32:00Z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